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D73EF">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基金投资者风险测评问卷</w:t>
      </w:r>
    </w:p>
    <w:p w14:paraId="0AE59076">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（机构版）</w:t>
      </w:r>
    </w:p>
    <w:p w14:paraId="23E3C347">
      <w:pPr>
        <w:spacing w:line="360" w:lineRule="auto"/>
        <w:rPr>
          <w:rFonts w:ascii="Times New Roman" w:hAnsi="Times New Roman" w:cs="Times New Roman"/>
          <w:b/>
          <w:sz w:val="24"/>
          <w:szCs w:val="24"/>
        </w:rPr>
      </w:pPr>
      <w:r>
        <w:rPr>
          <w:rFonts w:ascii="Times New Roman" w:hAnsi="Times New Roman" w:cs="Times New Roman"/>
          <w:b/>
          <w:sz w:val="24"/>
          <w:szCs w:val="24"/>
        </w:rPr>
        <w:t>投资者名称：</w:t>
      </w:r>
      <w:bookmarkStart w:id="0" w:name="_Hlk75351187"/>
      <w:r>
        <w:rPr>
          <w:rFonts w:ascii="Times New Roman" w:hAnsi="Times New Roman" w:cs="Times New Roman"/>
          <w:color w:val="000000"/>
          <w:sz w:val="24"/>
          <w:szCs w:val="24"/>
        </w:rPr>
        <w:object>
          <v:shape id="_x0000_i1025" o:spt="201" alt="" type="#_x0000_t201" style="height:18pt;width:356.25pt;" o:ole="t" filled="f" o:preferrelative="t" stroked="f" coordsize="21600,21600">
            <v:path/>
            <v:fill on="f" focussize="0,0"/>
            <v:stroke on="f"/>
            <v:imagedata r:id="rId10" o:title=""/>
            <o:lock v:ext="edit" aspectratio="t"/>
            <w10:wrap type="none"/>
            <w10:anchorlock/>
          </v:shape>
          <w:control r:id="rId9" w:name="TextBox12279" w:shapeid="_x0000_i1025"/>
        </w:object>
      </w:r>
      <w:bookmarkEnd w:id="0"/>
      <w:r>
        <w:rPr>
          <w:rFonts w:ascii="Times New Roman" w:hAnsi="Times New Roman" w:cs="Times New Roman"/>
          <w:sz w:val="24"/>
          <w:szCs w:val="24"/>
        </w:rPr>
        <w:t xml:space="preserve"> </w:t>
      </w:r>
    </w:p>
    <w:p w14:paraId="40180742">
      <w:pPr>
        <w:spacing w:line="360" w:lineRule="auto"/>
        <w:rPr>
          <w:rFonts w:ascii="Times New Roman" w:hAnsi="Times New Roman" w:cs="Times New Roman"/>
          <w:sz w:val="24"/>
          <w:szCs w:val="24"/>
        </w:rPr>
      </w:pPr>
      <w:r>
        <w:rPr>
          <w:rFonts w:ascii="Times New Roman" w:hAnsi="Times New Roman" w:cs="Times New Roman"/>
          <w:b/>
          <w:sz w:val="24"/>
          <w:szCs w:val="24"/>
        </w:rPr>
        <w:t>填写日期：</w:t>
      </w:r>
      <w:r>
        <w:rPr>
          <w:rFonts w:ascii="Times New Roman" w:hAnsi="Times New Roman" w:cs="Times New Roman"/>
          <w:color w:val="000000"/>
          <w:sz w:val="24"/>
          <w:szCs w:val="24"/>
        </w:rPr>
        <w:object>
          <v:shape id="_x0000_i1026" o:spt="201" alt="" type="#_x0000_t201" style="height:18pt;width:256.5pt;" o:ole="t" filled="f" o:preferrelative="t" stroked="f" coordsize="21600,21600">
            <v:path/>
            <v:fill on="f" focussize="0,0"/>
            <v:stroke on="f"/>
            <v:imagedata r:id="rId12" o:title=""/>
            <o:lock v:ext="edit" aspectratio="t"/>
            <w10:wrap type="none"/>
            <w10:anchorlock/>
          </v:shape>
          <w:control r:id="rId11" w:name="TextBox122791" w:shapeid="_x0000_i1026"/>
        </w:object>
      </w:r>
    </w:p>
    <w:p w14:paraId="74DB4537">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本问卷旨在了解贵单位可承受的风险程度等情况，借此协助贵单位选择合适的金融产品或金融服务类别，以符合贵单位的风险承受能力。</w:t>
      </w:r>
    </w:p>
    <w:p w14:paraId="1AFB51C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风险承受能力评估是本公司向客户履行适当性职责的一个环节，其目的是使本公司所提供的金融产品或金融服务与贵单位的风险承受能力等级相匹配。</w:t>
      </w:r>
    </w:p>
    <w:p w14:paraId="367E2B5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r>
        <w:rPr>
          <w:rFonts w:hint="eastAsia" w:ascii="Times New Roman" w:hAnsi="Times New Roman" w:cs="Times New Roman"/>
          <w:sz w:val="24"/>
          <w:szCs w:val="24"/>
        </w:rPr>
        <w:t>。</w:t>
      </w:r>
      <w:r>
        <w:rPr>
          <w:sz w:val="24"/>
          <w:szCs w:val="24"/>
        </w:rPr>
        <w:t>如果基金管理人、基金托管人、基金服务机构业务或者财务状况变化，可能会影响投资者的判断，也可能导致投资本金发生损失。另外，请关注基金的产品资料概要，了解基金的运作模式及运作周期等限制内容</w:t>
      </w:r>
      <w:r>
        <w:rPr>
          <w:rFonts w:ascii="Times New Roman" w:hAnsi="Times New Roman" w:cs="Times New Roman"/>
          <w:sz w:val="24"/>
          <w:szCs w:val="24"/>
        </w:rPr>
        <w:t>。</w:t>
      </w:r>
    </w:p>
    <w:p w14:paraId="2152A5B1">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7AAB4A65">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本公司建议：当贵单位的各项状况发生重大变化，需对贵单位所投资的金融产品及时进行重新审视，应及时告知并进行相关变更事宜，以确保贵单位的投资决定与贵单位可承受的投资风险程度等实际情况一致。</w:t>
      </w:r>
    </w:p>
    <w:p w14:paraId="1851EF64">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1ED7B75D">
      <w:pPr>
        <w:spacing w:line="360" w:lineRule="auto"/>
        <w:ind w:firstLine="480" w:firstLineChars="200"/>
        <w:jc w:val="both"/>
        <w:rPr>
          <w:rFonts w:ascii="Times New Roman" w:hAnsi="Times New Roman" w:cs="Times New Roman"/>
          <w:sz w:val="24"/>
          <w:szCs w:val="24"/>
        </w:rPr>
      </w:pPr>
    </w:p>
    <w:p w14:paraId="7AC1BF0D">
      <w:pPr>
        <w:adjustRightInd w:val="0"/>
        <w:snapToGrid w:val="0"/>
        <w:spacing w:line="259" w:lineRule="exact"/>
        <w:rPr>
          <w:rFonts w:ascii="Times New Roman" w:hAnsi="Times New Roman" w:cs="Times New Roman"/>
          <w:b/>
          <w:color w:val="000000"/>
          <w:sz w:val="24"/>
          <w:szCs w:val="24"/>
        </w:rPr>
      </w:pPr>
      <w:bookmarkStart w:id="1" w:name="page2"/>
      <w:bookmarkEnd w:id="1"/>
      <w:r>
        <w:rPr>
          <w:rFonts w:ascii="Times New Roman" w:hAnsi="Times New Roman" w:cs="Times New Roman"/>
          <w:b/>
          <w:color w:val="000000"/>
          <w:sz w:val="24"/>
          <w:szCs w:val="24"/>
        </w:rPr>
        <w:t>（请在相应的选项字母前打</w:t>
      </w:r>
      <w:r>
        <w:rPr>
          <w:rFonts w:hint="eastAsia" w:ascii="MS Gothic" w:hAnsi="MS Gothic" w:eastAsia="MS Gothic" w:cs="MS Gothic"/>
          <w:b/>
          <w:color w:val="000000"/>
          <w:sz w:val="24"/>
          <w:szCs w:val="24"/>
        </w:rPr>
        <w:t>✓</w:t>
      </w:r>
      <w:r>
        <w:rPr>
          <w:rFonts w:ascii="Times New Roman" w:hAnsi="Times New Roman" w:cs="Times New Roman"/>
          <w:b/>
          <w:color w:val="000000"/>
          <w:sz w:val="24"/>
          <w:szCs w:val="24"/>
        </w:rPr>
        <w:t>）</w:t>
      </w:r>
    </w:p>
    <w:p w14:paraId="75CB51E0">
      <w:pPr>
        <w:pStyle w:val="2"/>
        <w:spacing w:before="240"/>
        <w:rPr>
          <w:rFonts w:ascii="Times New Roman" w:hAnsi="Times New Roman" w:cs="Times New Roman"/>
          <w:szCs w:val="24"/>
        </w:rPr>
      </w:pPr>
      <w:r>
        <w:rPr>
          <w:rFonts w:ascii="Times New Roman" w:hAnsi="Times New Roman" w:cs="Times New Roman"/>
          <w:szCs w:val="24"/>
        </w:rPr>
        <w:t>1、贵单位的性质：</w:t>
      </w:r>
    </w:p>
    <w:p w14:paraId="1410FD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892718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bookmarkStart w:id="6" w:name="_GoBack"/>
          <w:r>
            <w:rPr>
              <w:rFonts w:hint="eastAsia" w:ascii="MS Gothic" w:hAnsi="MS Gothic" w:eastAsia="MS Gothic" w:cs="Times New Roman"/>
              <w:sz w:val="24"/>
              <w:szCs w:val="24"/>
            </w:rPr>
            <w:t>☐</w:t>
          </w:r>
        </w:sdtContent>
      </w:sdt>
      <w:bookmarkEnd w:id="6"/>
      <w:r>
        <w:rPr>
          <w:rFonts w:ascii="Times New Roman" w:hAnsi="Times New Roman" w:cs="Times New Roman"/>
          <w:sz w:val="24"/>
          <w:szCs w:val="24"/>
        </w:rPr>
        <w:t>A.  国有企事业单位</w:t>
      </w:r>
    </w:p>
    <w:p w14:paraId="6AE686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97663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非上市民营企业 </w:t>
      </w:r>
    </w:p>
    <w:p w14:paraId="28CE700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39787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外资企业 </w:t>
      </w:r>
    </w:p>
    <w:p w14:paraId="12AD1C5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4918568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上市公司 </w:t>
      </w:r>
    </w:p>
    <w:p w14:paraId="7A1C5120">
      <w:pPr>
        <w:tabs>
          <w:tab w:val="left" w:pos="380"/>
        </w:tabs>
        <w:spacing w:line="240" w:lineRule="atLeast"/>
        <w:ind w:left="400" w:leftChars="200"/>
        <w:jc w:val="both"/>
        <w:rPr>
          <w:rFonts w:ascii="Times New Roman" w:hAnsi="Times New Roman" w:cs="Times New Roman"/>
          <w:sz w:val="24"/>
          <w:szCs w:val="24"/>
        </w:rPr>
      </w:pPr>
    </w:p>
    <w:p w14:paraId="4C0D2BEB">
      <w:pPr>
        <w:tabs>
          <w:tab w:val="left" w:pos="380"/>
        </w:tabs>
        <w:spacing w:line="240" w:lineRule="atLeast"/>
        <w:ind w:left="400" w:leftChars="200"/>
        <w:jc w:val="both"/>
        <w:rPr>
          <w:rFonts w:ascii="Times New Roman" w:hAnsi="Times New Roman" w:cs="Times New Roman"/>
          <w:sz w:val="24"/>
          <w:szCs w:val="24"/>
        </w:rPr>
      </w:pPr>
    </w:p>
    <w:p w14:paraId="3B468E53">
      <w:pPr>
        <w:pStyle w:val="2"/>
        <w:spacing w:before="240"/>
        <w:rPr>
          <w:rFonts w:ascii="Times New Roman" w:hAnsi="Times New Roman" w:cs="Times New Roman"/>
          <w:szCs w:val="24"/>
        </w:rPr>
      </w:pPr>
      <w:r>
        <w:rPr>
          <w:rFonts w:ascii="Times New Roman" w:hAnsi="Times New Roman" w:cs="Times New Roman"/>
          <w:szCs w:val="24"/>
        </w:rPr>
        <w:t>2、贵单位的净资产规模为：</w:t>
      </w:r>
    </w:p>
    <w:p w14:paraId="1CCEE61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427022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500 万元以下  </w:t>
      </w:r>
    </w:p>
    <w:p w14:paraId="485CBA7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173879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500 万元-2000 万元  </w:t>
      </w:r>
    </w:p>
    <w:p w14:paraId="286A72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02811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2000 万元-1 亿元 </w:t>
      </w:r>
    </w:p>
    <w:p w14:paraId="16B56BF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8339206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1 亿元  </w:t>
      </w:r>
    </w:p>
    <w:p w14:paraId="1A5F0694">
      <w:pPr>
        <w:pStyle w:val="2"/>
        <w:spacing w:before="240"/>
        <w:rPr>
          <w:rFonts w:ascii="Times New Roman" w:hAnsi="Times New Roman" w:cs="Times New Roman"/>
          <w:szCs w:val="24"/>
        </w:rPr>
      </w:pPr>
      <w:r>
        <w:rPr>
          <w:rFonts w:ascii="Times New Roman" w:hAnsi="Times New Roman" w:cs="Times New Roman"/>
          <w:szCs w:val="24"/>
        </w:rPr>
        <w:t>3、贵单位年营业收入为：</w:t>
      </w:r>
    </w:p>
    <w:p w14:paraId="4A8C149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411503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500 万元以下 </w:t>
      </w:r>
    </w:p>
    <w:p w14:paraId="7AFDA60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394277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500 万元-2000 万元 </w:t>
      </w:r>
    </w:p>
    <w:p w14:paraId="6FD6A8C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91576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2000 万元-1 亿元  </w:t>
      </w:r>
    </w:p>
    <w:p w14:paraId="1916363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935346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1 亿元 </w:t>
      </w:r>
    </w:p>
    <w:p w14:paraId="6ABB07A1">
      <w:pPr>
        <w:pStyle w:val="2"/>
        <w:spacing w:before="240"/>
        <w:rPr>
          <w:rFonts w:ascii="Times New Roman" w:hAnsi="Times New Roman" w:cs="Times New Roman"/>
          <w:szCs w:val="24"/>
        </w:rPr>
      </w:pPr>
      <w:r>
        <w:rPr>
          <w:rFonts w:ascii="Times New Roman" w:hAnsi="Times New Roman" w:cs="Times New Roman"/>
          <w:szCs w:val="24"/>
        </w:rPr>
        <w:t>4、贵单位证券账户资产为：</w:t>
      </w:r>
    </w:p>
    <w:p w14:paraId="24209A2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667516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300 万元以内  </w:t>
      </w:r>
    </w:p>
    <w:p w14:paraId="11C6D5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973009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300 万元-1000 万元 </w:t>
      </w:r>
    </w:p>
    <w:p w14:paraId="13EF3D6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4547792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1000 万元-3000 万元  </w:t>
      </w:r>
    </w:p>
    <w:p w14:paraId="5C148E9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444331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3000 万元 </w:t>
      </w:r>
    </w:p>
    <w:p w14:paraId="4385BBC3">
      <w:pPr>
        <w:pStyle w:val="2"/>
        <w:spacing w:before="240"/>
        <w:rPr>
          <w:rFonts w:ascii="Times New Roman" w:hAnsi="Times New Roman" w:cs="Times New Roman"/>
          <w:szCs w:val="24"/>
        </w:rPr>
      </w:pPr>
      <w:r>
        <w:rPr>
          <w:rFonts w:ascii="Times New Roman" w:hAnsi="Times New Roman" w:cs="Times New Roman"/>
          <w:szCs w:val="24"/>
        </w:rPr>
        <w:t>5、贵单位是否有尚未清偿的数额较大的债务？如有，主要是：</w:t>
      </w:r>
    </w:p>
    <w:p w14:paraId="7C80F86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409234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银行贷款</w:t>
      </w:r>
    </w:p>
    <w:p w14:paraId="7AC5D1E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532047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公司债券或企业债券 </w:t>
      </w:r>
    </w:p>
    <w:p w14:paraId="12130A3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214792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通过担保公司等中介机构募集的借款  </w:t>
      </w:r>
    </w:p>
    <w:p w14:paraId="7F7B1AA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615573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民间借贷 </w:t>
      </w:r>
    </w:p>
    <w:p w14:paraId="30BB11A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151711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没有数额较大的债务  </w:t>
      </w:r>
    </w:p>
    <w:p w14:paraId="532C06C6">
      <w:pPr>
        <w:pStyle w:val="2"/>
        <w:spacing w:before="240"/>
        <w:rPr>
          <w:rFonts w:ascii="Times New Roman" w:hAnsi="Times New Roman" w:cs="Times New Roman"/>
          <w:szCs w:val="24"/>
        </w:rPr>
      </w:pPr>
      <w:r>
        <w:rPr>
          <w:rFonts w:ascii="Times New Roman" w:hAnsi="Times New Roman" w:cs="Times New Roman"/>
          <w:szCs w:val="24"/>
        </w:rPr>
        <w:t>6、对于金融产品投资工作，贵单位打算配置怎样的人员力量：</w:t>
      </w:r>
    </w:p>
    <w:p w14:paraId="5B0CB73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2060222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一名兼职人员（包括负责人自行决策） </w:t>
      </w:r>
    </w:p>
    <w:p w14:paraId="11DD984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77923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一名专职人员</w:t>
      </w:r>
    </w:p>
    <w:p w14:paraId="7D282A8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120554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多名兼职或专职人员，相互之间分工不明确 </w:t>
      </w:r>
    </w:p>
    <w:p w14:paraId="08F40FC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881932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多名兼职或专职人员，相互之间有明确分工  </w:t>
      </w:r>
    </w:p>
    <w:p w14:paraId="3DC1015F">
      <w:pPr>
        <w:pStyle w:val="2"/>
        <w:spacing w:before="240"/>
        <w:rPr>
          <w:rFonts w:ascii="Times New Roman" w:hAnsi="Times New Roman" w:cs="Times New Roman"/>
          <w:szCs w:val="24"/>
        </w:rPr>
      </w:pPr>
      <w:r>
        <w:rPr>
          <w:rFonts w:ascii="Times New Roman" w:hAnsi="Times New Roman" w:cs="Times New Roman"/>
          <w:szCs w:val="24"/>
        </w:rPr>
        <w:t>7、贵单位所配置的负责金融产品投资工作的人员是否符合以下情况：</w:t>
      </w:r>
    </w:p>
    <w:p w14:paraId="305E6A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0925740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A.现在或此前曾从事金融、经济或财会等与金融产品投资相关的工作超过两年</w:t>
      </w:r>
    </w:p>
    <w:p w14:paraId="312604C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50161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B.已取得金融、经济或财会等与金融产品投资相关专业学士以上学位 </w:t>
      </w:r>
    </w:p>
    <w:p w14:paraId="1A91578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2064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C.取得证券从业资格、期货从业资格、注册会计师证书（CPA）或注册金融分析师证书（CFA）中的一项及以上 </w:t>
      </w:r>
    </w:p>
    <w:p w14:paraId="54D8843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2285491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本单位所配置的人员不符合以上任何一项描述</w:t>
      </w:r>
    </w:p>
    <w:p w14:paraId="3F97621D">
      <w:pPr>
        <w:pStyle w:val="2"/>
        <w:spacing w:before="240"/>
        <w:rPr>
          <w:rFonts w:ascii="Times New Roman" w:hAnsi="Times New Roman" w:cs="Times New Roman"/>
          <w:szCs w:val="24"/>
        </w:rPr>
      </w:pPr>
    </w:p>
    <w:p w14:paraId="2D9BD7EA">
      <w:pPr>
        <w:pStyle w:val="2"/>
        <w:spacing w:before="240"/>
        <w:rPr>
          <w:rFonts w:ascii="Times New Roman" w:hAnsi="Times New Roman" w:cs="Times New Roman"/>
          <w:szCs w:val="24"/>
        </w:rPr>
      </w:pPr>
    </w:p>
    <w:p w14:paraId="4EB6FCA1">
      <w:pPr>
        <w:pStyle w:val="2"/>
        <w:spacing w:before="240"/>
        <w:rPr>
          <w:rFonts w:ascii="Times New Roman" w:hAnsi="Times New Roman" w:cs="Times New Roman"/>
          <w:szCs w:val="24"/>
        </w:rPr>
      </w:pPr>
    </w:p>
    <w:p w14:paraId="1B25BD76">
      <w:pPr>
        <w:pStyle w:val="2"/>
        <w:spacing w:before="240"/>
        <w:rPr>
          <w:rFonts w:ascii="Times New Roman" w:hAnsi="Times New Roman" w:cs="Times New Roman"/>
          <w:szCs w:val="24"/>
        </w:rPr>
      </w:pPr>
      <w:r>
        <w:rPr>
          <w:rFonts w:ascii="Times New Roman" w:hAnsi="Times New Roman" w:cs="Times New Roman"/>
          <w:szCs w:val="24"/>
        </w:rPr>
        <w:t>8、贵单位是否建立了金融产品投资相关的管理制度：</w:t>
      </w:r>
    </w:p>
    <w:p w14:paraId="11E219A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4017497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没有。因为要保证操作的灵活性  </w:t>
      </w:r>
    </w:p>
    <w:p w14:paraId="29FF07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076567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已建立。包括了分工和授权的要求，但未包括投资风险控制的规则</w:t>
      </w:r>
    </w:p>
    <w:p w14:paraId="37E06E1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1428481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已建立。包括了分工与授权、风险控制等一系列与金融产品投资有关的规则 </w:t>
      </w:r>
    </w:p>
    <w:p w14:paraId="2B971917">
      <w:pPr>
        <w:pStyle w:val="2"/>
        <w:spacing w:before="240"/>
        <w:rPr>
          <w:rFonts w:ascii="Times New Roman" w:hAnsi="Times New Roman" w:cs="Times New Roman"/>
          <w:szCs w:val="24"/>
        </w:rPr>
      </w:pPr>
    </w:p>
    <w:p w14:paraId="7570A904">
      <w:pPr>
        <w:pStyle w:val="2"/>
        <w:spacing w:before="240"/>
        <w:rPr>
          <w:rFonts w:ascii="Times New Roman" w:hAnsi="Times New Roman" w:cs="Times New Roman"/>
          <w:szCs w:val="24"/>
        </w:rPr>
      </w:pPr>
      <w:r>
        <w:rPr>
          <w:rFonts w:ascii="Times New Roman" w:hAnsi="Times New Roman" w:cs="Times New Roman"/>
          <w:szCs w:val="24"/>
        </w:rPr>
        <w:t>9、贵单位的投资经验可以被概括为：</w:t>
      </w:r>
    </w:p>
    <w:p w14:paraId="7E1100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559650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A.有限：除银行活期账户和定期存款外，基本没有其他投资经验 </w:t>
      </w:r>
    </w:p>
    <w:p w14:paraId="6D51016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3480955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B.一般：除银行活期账户和定期存款外，购买过基金、保险等理财产品，但还需要进一步的指导</w:t>
      </w:r>
    </w:p>
    <w:p w14:paraId="57B027E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7304663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C.丰富：本单位具有相当投资经验，参与过股票、基金等产品的交易，并倾向于自己做出投资决策  </w:t>
      </w:r>
    </w:p>
    <w:p w14:paraId="1BF6E3F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8259829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D.非常丰富：本单位对于投资非常有经验，参与过权证、期货或创业板等高风险产品的交易 </w:t>
      </w:r>
    </w:p>
    <w:p w14:paraId="4A1B5525">
      <w:pPr>
        <w:pStyle w:val="2"/>
        <w:spacing w:before="240"/>
        <w:rPr>
          <w:rFonts w:ascii="Times New Roman" w:hAnsi="Times New Roman" w:cs="Times New Roman"/>
          <w:szCs w:val="24"/>
        </w:rPr>
      </w:pPr>
      <w:r>
        <w:rPr>
          <w:rFonts w:ascii="Times New Roman" w:hAnsi="Times New Roman" w:cs="Times New Roman"/>
          <w:szCs w:val="24"/>
        </w:rPr>
        <w:t>10、有一位投资者一个月内做了 15 笔交易（同一品种买卖各一次算一笔），贵单位认为这样的交易频率：</w:t>
      </w:r>
    </w:p>
    <w:p w14:paraId="159E539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582181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太高了 </w:t>
      </w:r>
    </w:p>
    <w:p w14:paraId="75FAB2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5384855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偏高 </w:t>
      </w:r>
    </w:p>
    <w:p w14:paraId="2DAA83F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1046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正常  </w:t>
      </w:r>
    </w:p>
    <w:p w14:paraId="01949F2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078660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ascii="Segoe UI Symbol" w:hAnsi="Segoe UI Symbol" w:eastAsia="MS Gothic" w:cs="Segoe UI Symbol"/>
              <w:sz w:val="24"/>
              <w:szCs w:val="24"/>
            </w:rPr>
            <w:t>☐</w:t>
          </w:r>
        </w:sdtContent>
      </w:sdt>
      <w:r>
        <w:rPr>
          <w:rFonts w:ascii="Times New Roman" w:hAnsi="Times New Roman" w:cs="Times New Roman"/>
          <w:sz w:val="24"/>
          <w:szCs w:val="24"/>
        </w:rPr>
        <w:t xml:space="preserve">D.  偏低  </w:t>
      </w:r>
    </w:p>
    <w:p w14:paraId="3DAB4708">
      <w:pPr>
        <w:pStyle w:val="2"/>
        <w:spacing w:before="240"/>
        <w:rPr>
          <w:rFonts w:ascii="Times New Roman" w:hAnsi="Times New Roman" w:cs="Times New Roman"/>
          <w:szCs w:val="24"/>
        </w:rPr>
      </w:pPr>
      <w:r>
        <w:rPr>
          <w:rFonts w:ascii="Times New Roman" w:hAnsi="Times New Roman" w:cs="Times New Roman"/>
          <w:szCs w:val="24"/>
        </w:rPr>
        <w:t>11、过去一年时间内，您购买的不同金融产品（含同一类型的不同金融产品）的数量是：</w:t>
      </w:r>
    </w:p>
    <w:p w14:paraId="6ED0D4E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2666783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 个以下 </w:t>
      </w:r>
    </w:p>
    <w:p w14:paraId="5C845C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2214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6 至 10 个  </w:t>
      </w:r>
    </w:p>
    <w:p w14:paraId="5CDB09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23527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11 至 15 个</w:t>
      </w:r>
    </w:p>
    <w:p w14:paraId="59FFEB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939807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16 个以上</w:t>
      </w:r>
      <w:bookmarkStart w:id="2" w:name="page4"/>
      <w:bookmarkEnd w:id="2"/>
    </w:p>
    <w:p w14:paraId="30350E0B">
      <w:pPr>
        <w:pStyle w:val="2"/>
        <w:spacing w:before="240"/>
        <w:rPr>
          <w:rFonts w:ascii="Times New Roman" w:hAnsi="Times New Roman" w:cs="Times New Roman"/>
          <w:szCs w:val="24"/>
        </w:rPr>
      </w:pPr>
      <w:r>
        <w:rPr>
          <w:rFonts w:ascii="Times New Roman" w:hAnsi="Times New Roman" w:cs="Times New Roman"/>
          <w:szCs w:val="24"/>
        </w:rPr>
        <w:t xml:space="preserve">12、以下金融产品，贵单位投资经验在两年以上的有：  </w:t>
      </w:r>
    </w:p>
    <w:p w14:paraId="7E68981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229521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银行存款  </w:t>
      </w:r>
    </w:p>
    <w:p w14:paraId="0D9F40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691759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债券、货币市场基金、债券型基金或其它固定收益 类产品 </w:t>
      </w:r>
    </w:p>
    <w:p w14:paraId="317B989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31992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股票、混合型基金、偏股型基金、股票型基金等权益 类投资品种</w:t>
      </w:r>
    </w:p>
    <w:p w14:paraId="6D9ABED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4014203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期货、融资融券</w:t>
      </w:r>
    </w:p>
    <w:p w14:paraId="6498F97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816911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复杂金融产品或其他产品 </w:t>
      </w:r>
    </w:p>
    <w:p w14:paraId="5BA7AB63">
      <w:pPr>
        <w:tabs>
          <w:tab w:val="left" w:pos="380"/>
        </w:tabs>
        <w:spacing w:line="240" w:lineRule="atLeast"/>
        <w:ind w:left="400" w:leftChars="200"/>
        <w:jc w:val="both"/>
        <w:rPr>
          <w:rFonts w:ascii="Times New Roman" w:hAnsi="Times New Roman" w:cs="Times New Roman"/>
          <w:sz w:val="24"/>
          <w:szCs w:val="24"/>
        </w:rPr>
      </w:pPr>
      <w:r>
        <w:rPr>
          <w:rFonts w:ascii="Times New Roman" w:hAnsi="Times New Roman" w:cs="Times New Roman"/>
          <w:sz w:val="24"/>
          <w:szCs w:val="24"/>
        </w:rPr>
        <w:t>（注：本题可多选，但评分以其中最高分值选项为准。）</w:t>
      </w:r>
    </w:p>
    <w:p w14:paraId="69DE2F8B">
      <w:pPr>
        <w:pStyle w:val="2"/>
        <w:spacing w:before="240"/>
        <w:rPr>
          <w:rFonts w:ascii="Times New Roman" w:hAnsi="Times New Roman" w:cs="Times New Roman"/>
          <w:szCs w:val="24"/>
        </w:rPr>
      </w:pPr>
      <w:r>
        <w:rPr>
          <w:rFonts w:ascii="Times New Roman" w:hAnsi="Times New Roman" w:cs="Times New Roman"/>
          <w:szCs w:val="24"/>
        </w:rPr>
        <w:t>13、如果贵单位曾经从事过金融产品投资，在交易较为活跃的月份，平均月交易额大概是多少：</w:t>
      </w:r>
    </w:p>
    <w:p w14:paraId="0BD2CE2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043694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100 万元以内 </w:t>
      </w:r>
    </w:p>
    <w:p w14:paraId="313B5BC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9486196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100 万元-300 万元  </w:t>
      </w:r>
    </w:p>
    <w:p w14:paraId="4D3D92B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78109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300 万元-1000 万元</w:t>
      </w:r>
    </w:p>
    <w:p w14:paraId="4E31C4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052584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1000 万元以上</w:t>
      </w:r>
    </w:p>
    <w:p w14:paraId="665D9C0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6348154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从未投资过金融产品  </w:t>
      </w:r>
    </w:p>
    <w:p w14:paraId="4108240E">
      <w:pPr>
        <w:pStyle w:val="2"/>
        <w:spacing w:before="240"/>
        <w:rPr>
          <w:rFonts w:ascii="Times New Roman" w:hAnsi="Times New Roman" w:cs="Times New Roman"/>
          <w:szCs w:val="24"/>
        </w:rPr>
      </w:pPr>
      <w:r>
        <w:rPr>
          <w:rFonts w:ascii="Times New Roman" w:hAnsi="Times New Roman" w:cs="Times New Roman"/>
          <w:szCs w:val="24"/>
        </w:rPr>
        <w:t>14、贵单位用于证券投资的大部分资金不会用作其它用途的时间段为：</w:t>
      </w:r>
    </w:p>
    <w:p w14:paraId="705C154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967009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短期——0 到 1 年  </w:t>
      </w:r>
    </w:p>
    <w:p w14:paraId="17AA6A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957187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中期——1 到 5 年</w:t>
      </w:r>
    </w:p>
    <w:p w14:paraId="7FD5611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2011565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长期——5 年以上 </w:t>
      </w:r>
    </w:p>
    <w:p w14:paraId="5EAA4E29">
      <w:pPr>
        <w:pStyle w:val="2"/>
        <w:spacing w:before="240"/>
        <w:rPr>
          <w:rFonts w:ascii="Times New Roman" w:hAnsi="Times New Roman" w:cs="Times New Roman"/>
          <w:szCs w:val="24"/>
        </w:rPr>
      </w:pPr>
    </w:p>
    <w:p w14:paraId="438DABF7">
      <w:pPr>
        <w:pStyle w:val="2"/>
        <w:spacing w:before="240"/>
        <w:rPr>
          <w:rFonts w:ascii="Times New Roman" w:hAnsi="Times New Roman" w:cs="Times New Roman"/>
          <w:szCs w:val="24"/>
        </w:rPr>
      </w:pPr>
      <w:r>
        <w:rPr>
          <w:rFonts w:ascii="Times New Roman" w:hAnsi="Times New Roman" w:cs="Times New Roman"/>
          <w:szCs w:val="24"/>
        </w:rPr>
        <w:t>15、贵单位进行投资时的首要目标是：</w:t>
      </w:r>
    </w:p>
    <w:p w14:paraId="2D0AF8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971585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资产保值，我不愿意承担任何投资风险</w:t>
      </w:r>
    </w:p>
    <w:p w14:paraId="18EFE59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5718175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尽可能保证本金安全，不在乎收益率比较低</w:t>
      </w:r>
    </w:p>
    <w:p w14:paraId="4646B94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5484317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产生较多的收益，可以承担一定的投资风险 </w:t>
      </w:r>
    </w:p>
    <w:p w14:paraId="223F9FB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00718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实现资产大幅增长，愿意承担很大的投资风险  </w:t>
      </w:r>
    </w:p>
    <w:p w14:paraId="66DBA2D9">
      <w:pPr>
        <w:pStyle w:val="2"/>
        <w:spacing w:before="240"/>
        <w:rPr>
          <w:rFonts w:ascii="Times New Roman" w:hAnsi="Times New Roman" w:cs="Times New Roman"/>
          <w:szCs w:val="24"/>
        </w:rPr>
      </w:pPr>
      <w:bookmarkStart w:id="3" w:name="page5"/>
      <w:bookmarkEnd w:id="3"/>
      <w:r>
        <w:rPr>
          <w:rFonts w:ascii="Times New Roman" w:hAnsi="Times New Roman" w:cs="Times New Roman"/>
          <w:szCs w:val="24"/>
        </w:rPr>
        <w:t>16、贵单位打算重点投资于哪个种类的投资品种？</w:t>
      </w:r>
    </w:p>
    <w:p w14:paraId="130352F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59050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债券、货币市场基金、债券基金等固定收益类投资品种 </w:t>
      </w:r>
    </w:p>
    <w:p w14:paraId="0192E2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2715368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股票、混合型基金、偏股型基金、股票型基金等权益类投资品种</w:t>
      </w:r>
    </w:p>
    <w:p w14:paraId="7B1237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839109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期货、融资融券  </w:t>
      </w:r>
    </w:p>
    <w:p w14:paraId="04E9AE2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427321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复杂金融产品  </w:t>
      </w:r>
    </w:p>
    <w:p w14:paraId="13CA1D4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1599439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E.  其他产品</w:t>
      </w:r>
    </w:p>
    <w:p w14:paraId="2CA0E450">
      <w:pPr>
        <w:pStyle w:val="2"/>
        <w:spacing w:before="240"/>
        <w:rPr>
          <w:rFonts w:ascii="Times New Roman" w:hAnsi="Times New Roman" w:cs="Times New Roman"/>
          <w:szCs w:val="24"/>
        </w:rPr>
      </w:pPr>
      <w:r>
        <w:rPr>
          <w:rFonts w:ascii="Times New Roman" w:hAnsi="Times New Roman" w:cs="Times New Roman"/>
          <w:szCs w:val="24"/>
        </w:rPr>
        <w:t>17、贵单位认为自己能承受的最大投资损失是多少？</w:t>
      </w:r>
    </w:p>
    <w:p w14:paraId="33638E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90693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10%以内 </w:t>
      </w:r>
    </w:p>
    <w:p w14:paraId="0D7001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6733111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10%-30%</w:t>
      </w:r>
    </w:p>
    <w:p w14:paraId="1D02FE0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4619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30%-50%</w:t>
      </w:r>
    </w:p>
    <w:p w14:paraId="16D82E7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11460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50%  </w:t>
      </w:r>
    </w:p>
    <w:p w14:paraId="752554C1">
      <w:pPr>
        <w:pStyle w:val="2"/>
        <w:spacing w:before="240"/>
        <w:rPr>
          <w:rFonts w:ascii="Times New Roman" w:hAnsi="Times New Roman" w:cs="Times New Roman"/>
          <w:szCs w:val="24"/>
        </w:rPr>
      </w:pPr>
      <w:r>
        <w:rPr>
          <w:rFonts w:ascii="Times New Roman" w:hAnsi="Times New Roman" w:cs="Times New Roman"/>
          <w:szCs w:val="24"/>
        </w:rPr>
        <w:t>18、假设有两种不同的投资：投资 A 预期获得 5%的收益，有可能承担非常小的损失；投资 B 预期获得 20%的收益，但有可能面临 25%甚至更高的亏损。您将您的投资资产分配为：</w:t>
      </w:r>
    </w:p>
    <w:p w14:paraId="34316F4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236480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全部投资于 A </w:t>
      </w:r>
    </w:p>
    <w:p w14:paraId="678666F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408295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大部分投资于 A </w:t>
      </w:r>
    </w:p>
    <w:p w14:paraId="2A299EE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06187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两种投资各一半 </w:t>
      </w:r>
    </w:p>
    <w:p w14:paraId="19C0BC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651624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大部分投资于 B  </w:t>
      </w:r>
    </w:p>
    <w:p w14:paraId="120220D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944606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E.  全部投资于 B</w:t>
      </w:r>
    </w:p>
    <w:p w14:paraId="634190E6">
      <w:pPr>
        <w:pStyle w:val="2"/>
        <w:spacing w:before="240"/>
        <w:rPr>
          <w:rFonts w:ascii="Times New Roman" w:hAnsi="Times New Roman" w:cs="Times New Roman"/>
          <w:szCs w:val="24"/>
        </w:rPr>
      </w:pPr>
      <w:r>
        <w:rPr>
          <w:rFonts w:ascii="Times New Roman" w:hAnsi="Times New Roman" w:cs="Times New Roman"/>
          <w:szCs w:val="24"/>
        </w:rPr>
        <w:t>19、贵单位参与金融产品投资的主要目的是什么：</w:t>
      </w:r>
    </w:p>
    <w:p w14:paraId="6560AE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694925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闲置资金保值增值</w:t>
      </w:r>
    </w:p>
    <w:p w14:paraId="490ADB1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50984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获取主营业务以外的投资收益  </w:t>
      </w:r>
    </w:p>
    <w:p w14:paraId="4084FB5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170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现货套期保值、对冲主营业务风险</w:t>
      </w:r>
    </w:p>
    <w:p w14:paraId="48AC2D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49400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减持已持有的股票</w:t>
      </w:r>
    </w:p>
    <w:p w14:paraId="255740FC">
      <w:pPr>
        <w:tabs>
          <w:tab w:val="left" w:pos="468"/>
        </w:tabs>
        <w:ind w:firstLine="482" w:firstLineChars="200"/>
        <w:rPr>
          <w:rFonts w:ascii="Times New Roman" w:hAnsi="Times New Roman" w:cs="Times New Roman"/>
          <w:b/>
          <w:sz w:val="24"/>
          <w:szCs w:val="24"/>
        </w:rPr>
      </w:pPr>
    </w:p>
    <w:p w14:paraId="41EB91B1">
      <w:pPr>
        <w:tabs>
          <w:tab w:val="left" w:pos="468"/>
        </w:tabs>
        <w:spacing w:line="276" w:lineRule="auto"/>
        <w:ind w:firstLine="482" w:firstLineChars="200"/>
        <w:rPr>
          <w:rFonts w:ascii="Times New Roman" w:hAnsi="Times New Roman" w:cs="Times New Roman"/>
          <w:b/>
          <w:sz w:val="24"/>
          <w:szCs w:val="24"/>
        </w:rPr>
      </w:pPr>
    </w:p>
    <w:p w14:paraId="05410726">
      <w:pPr>
        <w:tabs>
          <w:tab w:val="left" w:pos="468"/>
        </w:tabs>
        <w:spacing w:line="276" w:lineRule="auto"/>
        <w:ind w:firstLine="482" w:firstLineChars="200"/>
        <w:rPr>
          <w:rFonts w:ascii="Times New Roman" w:hAnsi="Times New Roman" w:cs="Times New Roman"/>
          <w:b/>
          <w:sz w:val="24"/>
          <w:szCs w:val="24"/>
        </w:rPr>
      </w:pPr>
    </w:p>
    <w:p w14:paraId="2ABBFA19">
      <w:pPr>
        <w:tabs>
          <w:tab w:val="left" w:pos="468"/>
        </w:tabs>
        <w:spacing w:line="276" w:lineRule="auto"/>
        <w:ind w:firstLine="482" w:firstLineChars="200"/>
        <w:rPr>
          <w:rFonts w:ascii="Times New Roman" w:hAnsi="Times New Roman" w:cs="Times New Roman"/>
          <w:b/>
          <w:sz w:val="24"/>
          <w:szCs w:val="24"/>
        </w:rPr>
      </w:pPr>
    </w:p>
    <w:p w14:paraId="6E739568">
      <w:pPr>
        <w:tabs>
          <w:tab w:val="left" w:pos="468"/>
        </w:tabs>
        <w:spacing w:line="276" w:lineRule="auto"/>
        <w:ind w:firstLine="482" w:firstLineChars="200"/>
        <w:rPr>
          <w:rFonts w:ascii="Times New Roman" w:hAnsi="Times New Roman" w:cs="Times New Roman"/>
          <w:b/>
          <w:sz w:val="24"/>
          <w:szCs w:val="24"/>
        </w:rPr>
      </w:pPr>
    </w:p>
    <w:p w14:paraId="63379770">
      <w:pPr>
        <w:tabs>
          <w:tab w:val="left" w:pos="468"/>
        </w:tabs>
        <w:spacing w:line="276" w:lineRule="auto"/>
        <w:ind w:firstLine="482" w:firstLineChars="200"/>
        <w:rPr>
          <w:rFonts w:ascii="Times New Roman" w:hAnsi="Times New Roman" w:cs="Times New Roman"/>
          <w:b/>
          <w:sz w:val="24"/>
          <w:szCs w:val="24"/>
        </w:rPr>
      </w:pPr>
    </w:p>
    <w:p w14:paraId="66B989D0">
      <w:pPr>
        <w:tabs>
          <w:tab w:val="left" w:pos="468"/>
        </w:tabs>
        <w:spacing w:line="276" w:lineRule="auto"/>
        <w:ind w:firstLine="482" w:firstLineChars="200"/>
        <w:rPr>
          <w:rFonts w:ascii="Times New Roman" w:hAnsi="Times New Roman" w:cs="Times New Roman"/>
          <w:b/>
          <w:sz w:val="24"/>
          <w:szCs w:val="24"/>
        </w:rPr>
      </w:pPr>
    </w:p>
    <w:p w14:paraId="76E8E081">
      <w:pPr>
        <w:tabs>
          <w:tab w:val="left" w:pos="468"/>
        </w:tabs>
        <w:spacing w:line="276" w:lineRule="auto"/>
        <w:ind w:firstLine="482" w:firstLineChars="200"/>
        <w:rPr>
          <w:rFonts w:ascii="Times New Roman" w:hAnsi="Times New Roman" w:cs="Times New Roman"/>
          <w:b/>
          <w:sz w:val="24"/>
          <w:szCs w:val="24"/>
        </w:rPr>
      </w:pPr>
    </w:p>
    <w:p w14:paraId="1CCEF5AE">
      <w:pPr>
        <w:tabs>
          <w:tab w:val="left" w:pos="468"/>
        </w:tabs>
        <w:spacing w:line="276" w:lineRule="auto"/>
        <w:ind w:firstLine="482" w:firstLineChars="200"/>
        <w:rPr>
          <w:rFonts w:ascii="Times New Roman" w:hAnsi="Times New Roman" w:cs="Times New Roman"/>
          <w:b/>
          <w:sz w:val="24"/>
          <w:szCs w:val="24"/>
        </w:rPr>
      </w:pPr>
      <w:r>
        <w:rPr>
          <w:rFonts w:ascii="Times New Roman" w:hAnsi="Times New Roman" w:cs="Times New Roman"/>
          <w:b/>
          <w:sz w:val="24"/>
          <w:szCs w:val="24"/>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68B6646C">
      <w:pPr>
        <w:autoSpaceDE w:val="0"/>
        <w:autoSpaceDN w:val="0"/>
        <w:adjustRightInd w:val="0"/>
        <w:rPr>
          <w:rFonts w:hint="eastAsia" w:ascii="Times New Roman" w:hAnsi="Times New Roman" w:cs="Times New Roman"/>
          <w:b/>
          <w:sz w:val="24"/>
        </w:rPr>
      </w:pPr>
    </w:p>
    <w:p w14:paraId="383770B5">
      <w:pPr>
        <w:autoSpaceDE w:val="0"/>
        <w:autoSpaceDN w:val="0"/>
        <w:adjustRightInd w:val="0"/>
        <w:rPr>
          <w:rFonts w:ascii="Times New Roman" w:hAnsi="Times New Roman" w:cs="Times New Roman"/>
          <w:b/>
          <w:sz w:val="24"/>
        </w:rPr>
      </w:pPr>
    </w:p>
    <w:p w14:paraId="07F02979">
      <w:pPr>
        <w:autoSpaceDE w:val="0"/>
        <w:autoSpaceDN w:val="0"/>
        <w:adjustRightInd w:val="0"/>
        <w:rPr>
          <w:rFonts w:ascii="Times New Roman" w:hAnsi="Times New Roman" w:cs="Times New Roman"/>
          <w:b/>
          <w:sz w:val="24"/>
        </w:rPr>
      </w:pPr>
      <w:r>
        <w:rPr>
          <w:rFonts w:ascii="Times New Roman" w:hAnsi="Times New Roman" w:cs="Times New Roman"/>
          <w:b/>
          <w:sz w:val="24"/>
        </w:rPr>
        <w:t>投资人签署:</w:t>
      </w:r>
    </w:p>
    <w:p w14:paraId="2373B843">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1、本公司已知悉本问卷的设计方法和评价说明，以及贵公司旗下基金的风险等级；</w:t>
      </w:r>
    </w:p>
    <w:p w14:paraId="2970A9C0">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2、本公司愿意接受此问卷的调查方法，并已如实回答；</w:t>
      </w:r>
    </w:p>
    <w:p w14:paraId="622CE232">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3、如本公司所选择的基金产品风险等级超过我司的风险承受等级时，本公司确认此投资行为为本公司意愿行为，自行承担此投资的风险。</w:t>
      </w:r>
    </w:p>
    <w:p w14:paraId="6EEE81E3">
      <w:pPr>
        <w:spacing w:line="360" w:lineRule="auto"/>
        <w:rPr>
          <w:rFonts w:ascii="Times New Roman" w:hAnsi="Times New Roman" w:cs="Times New Roman"/>
          <w:b/>
          <w:sz w:val="24"/>
          <w:szCs w:val="24"/>
        </w:rPr>
      </w:pPr>
    </w:p>
    <w:p w14:paraId="4EF9C69E">
      <w:pPr>
        <w:spacing w:line="360" w:lineRule="auto"/>
        <w:rPr>
          <w:rFonts w:ascii="Times New Roman" w:hAnsi="Times New Roman" w:cs="Times New Roman"/>
          <w:b/>
          <w:sz w:val="24"/>
          <w:szCs w:val="24"/>
        </w:rPr>
      </w:pPr>
      <w:r>
        <w:rPr>
          <w:rFonts w:ascii="Times New Roman" w:hAnsi="Times New Roman" w:cs="Times New Roman"/>
          <w:b/>
          <w:sz w:val="24"/>
          <w:szCs w:val="24"/>
        </w:rPr>
        <w:t>经办人签字：</w:t>
      </w:r>
    </w:p>
    <w:p w14:paraId="5F457DA1">
      <w:pPr>
        <w:spacing w:line="360" w:lineRule="auto"/>
        <w:rPr>
          <w:rFonts w:ascii="Times New Roman" w:hAnsi="Times New Roman" w:cs="Times New Roman"/>
          <w:sz w:val="24"/>
          <w:szCs w:val="24"/>
        </w:rPr>
      </w:pPr>
    </w:p>
    <w:p w14:paraId="07F1685A">
      <w:pPr>
        <w:spacing w:line="360" w:lineRule="auto"/>
        <w:rPr>
          <w:rFonts w:ascii="Times New Roman" w:hAnsi="Times New Roman" w:cs="Times New Roman"/>
          <w:b/>
          <w:sz w:val="24"/>
          <w:szCs w:val="24"/>
        </w:rPr>
      </w:pPr>
      <w:r>
        <w:rPr>
          <w:rFonts w:ascii="Times New Roman" w:hAnsi="Times New Roman" w:cs="Times New Roman"/>
          <w:b/>
          <w:sz w:val="24"/>
          <w:szCs w:val="24"/>
        </w:rPr>
        <w:t>日期：</w:t>
      </w:r>
    </w:p>
    <w:p w14:paraId="533CF686">
      <w:pPr>
        <w:spacing w:line="360" w:lineRule="auto"/>
        <w:rPr>
          <w:rFonts w:ascii="Times New Roman" w:hAnsi="Times New Roman" w:cs="Times New Roman"/>
          <w:sz w:val="24"/>
          <w:szCs w:val="24"/>
        </w:rPr>
      </w:pPr>
    </w:p>
    <w:p w14:paraId="64CA4480">
      <w:pPr>
        <w:spacing w:line="360" w:lineRule="auto"/>
        <w:rPr>
          <w:rFonts w:ascii="Times New Roman" w:hAnsi="Times New Roman" w:cs="Times New Roman"/>
          <w:b/>
          <w:sz w:val="24"/>
          <w:szCs w:val="24"/>
        </w:rPr>
      </w:pPr>
      <w:r>
        <w:rPr>
          <w:rFonts w:ascii="Times New Roman" w:hAnsi="Times New Roman" w:cs="Times New Roman"/>
          <w:b/>
          <w:sz w:val="24"/>
          <w:szCs w:val="24"/>
        </w:rPr>
        <w:t>机构投资者盖章：</w:t>
      </w:r>
    </w:p>
    <w:p w14:paraId="3EB2C9D4">
      <w:pPr>
        <w:spacing w:line="360" w:lineRule="auto"/>
        <w:rPr>
          <w:rFonts w:ascii="Times New Roman" w:hAnsi="Times New Roman" w:cs="Times New Roman"/>
          <w:sz w:val="24"/>
          <w:szCs w:val="24"/>
        </w:rPr>
      </w:pPr>
    </w:p>
    <w:p w14:paraId="6BF58FFF">
      <w:pPr>
        <w:spacing w:line="360" w:lineRule="auto"/>
        <w:rPr>
          <w:rFonts w:ascii="Times New Roman" w:hAnsi="Times New Roman" w:cs="Times New Roman"/>
          <w:b/>
          <w:sz w:val="24"/>
          <w:szCs w:val="24"/>
        </w:rPr>
      </w:pPr>
      <w:r>
        <w:rPr>
          <w:rFonts w:ascii="Times New Roman" w:hAnsi="Times New Roman" w:cs="Times New Roman"/>
          <w:b/>
          <w:sz w:val="24"/>
          <w:szCs w:val="24"/>
        </w:rPr>
        <w:t>日期：</w:t>
      </w:r>
    </w:p>
    <w:p w14:paraId="46A21C80">
      <w:pPr>
        <w:spacing w:line="360" w:lineRule="auto"/>
        <w:rPr>
          <w:rFonts w:ascii="Times New Roman" w:hAnsi="Times New Roman" w:cs="Times New Roman"/>
          <w:sz w:val="24"/>
          <w:szCs w:val="24"/>
        </w:rPr>
      </w:pPr>
    </w:p>
    <w:p w14:paraId="542C45DF">
      <w:pPr>
        <w:spacing w:line="360" w:lineRule="auto"/>
        <w:rPr>
          <w:rFonts w:ascii="Times New Roman" w:hAnsi="Times New Roman" w:cs="Times New Roman"/>
          <w:b/>
          <w:sz w:val="24"/>
          <w:szCs w:val="24"/>
        </w:rPr>
      </w:pPr>
      <w:r>
        <w:rPr>
          <w:rFonts w:ascii="Times New Roman" w:hAnsi="Times New Roman" w:cs="Times New Roman"/>
          <w:b/>
          <w:sz w:val="24"/>
          <w:szCs w:val="24"/>
        </w:rPr>
        <w:t>募集机构（盖章）：</w:t>
      </w:r>
    </w:p>
    <w:p w14:paraId="1B73AA9A">
      <w:pPr>
        <w:spacing w:line="360" w:lineRule="auto"/>
        <w:rPr>
          <w:rFonts w:ascii="Times New Roman" w:hAnsi="Times New Roman" w:cs="Times New Roman"/>
          <w:b/>
          <w:sz w:val="24"/>
          <w:szCs w:val="24"/>
        </w:rPr>
      </w:pPr>
    </w:p>
    <w:p w14:paraId="0EDEE713">
      <w:pPr>
        <w:spacing w:line="360" w:lineRule="auto"/>
        <w:rPr>
          <w:rFonts w:ascii="Times New Roman" w:hAnsi="Times New Roman" w:cs="Times New Roman"/>
          <w:b/>
          <w:sz w:val="24"/>
          <w:szCs w:val="24"/>
        </w:rPr>
      </w:pPr>
      <w:r>
        <w:rPr>
          <w:rFonts w:ascii="Times New Roman" w:hAnsi="Times New Roman" w:cs="Times New Roman"/>
          <w:b/>
          <w:sz w:val="24"/>
          <w:szCs w:val="24"/>
        </w:rPr>
        <w:t>日期：</w:t>
      </w:r>
      <w:bookmarkStart w:id="4" w:name="page8"/>
      <w:bookmarkEnd w:id="4"/>
      <w:bookmarkStart w:id="5" w:name="page6"/>
      <w:bookmarkEnd w:id="5"/>
      <w:r>
        <w:rPr>
          <w:rFonts w:ascii="Times New Roman" w:hAnsi="Times New Roman" w:cs="Times New Roman"/>
          <w:b/>
          <w:sz w:val="24"/>
          <w:szCs w:val="24"/>
        </w:rPr>
        <w:t xml:space="preserve">  </w:t>
      </w:r>
    </w:p>
    <w:sectPr>
      <w:headerReference r:id="rId5" w:type="first"/>
      <w:footerReference r:id="rId7" w:type="first"/>
      <w:headerReference r:id="rId3" w:type="default"/>
      <w:headerReference r:id="rId4" w:type="even"/>
      <w:footerReference r:id="rId6" w:type="even"/>
      <w:type w:val="continuous"/>
      <w:pgSz w:w="11900" w:h="16838"/>
      <w:pgMar w:top="1418" w:right="1418" w:bottom="1418" w:left="1418" w:header="454" w:footer="0" w:gutter="0"/>
      <w:cols w:equalWidth="0" w:num="1">
        <w:col w:w="8682"/>
      </w:cols>
      <w:docGrid w:linePitch="2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6BA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F817D">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8CAD2">
    <w:pPr>
      <w:pStyle w:val="4"/>
      <w:jc w:val="left"/>
      <w:rPr>
        <w:rFonts w:ascii="宋体" w:hAnsi="宋体"/>
        <w:szCs w:val="21"/>
      </w:rPr>
    </w:pPr>
  </w:p>
  <w:p w14:paraId="4AC3F5E3">
    <w:pPr>
      <w:pStyle w:val="4"/>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BB74F">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0AC5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forms" w:enforcement="1" w:cryptProviderType="rsaFull" w:cryptAlgorithmClass="hash" w:cryptAlgorithmType="typeAny" w:cryptAlgorithmSid="4" w:cryptSpinCount="0" w:hash="QGqoj/4YgljjZeQExMj0bUWFIxU=" w:salt="erbTFbXTjVt5VJTaKmOGzg=="/>
  <w:defaultTabStop w:val="720"/>
  <w:drawingGridHorizontalSpacing w:val="100"/>
  <w:drawingGridVerticalSpacing w:val="137"/>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f4743c67-dcdd-46df-87dd-aa710ff0671c"/>
  </w:docVars>
  <w:rsids>
    <w:rsidRoot w:val="00B43339"/>
    <w:rsid w:val="0002414C"/>
    <w:rsid w:val="00071BE6"/>
    <w:rsid w:val="001044F5"/>
    <w:rsid w:val="001151AD"/>
    <w:rsid w:val="00115285"/>
    <w:rsid w:val="00153F94"/>
    <w:rsid w:val="00185013"/>
    <w:rsid w:val="001D74FB"/>
    <w:rsid w:val="00212DBF"/>
    <w:rsid w:val="00247D06"/>
    <w:rsid w:val="002C7123"/>
    <w:rsid w:val="003B376F"/>
    <w:rsid w:val="003F5E2A"/>
    <w:rsid w:val="00417D46"/>
    <w:rsid w:val="0043559F"/>
    <w:rsid w:val="00513747"/>
    <w:rsid w:val="005846EA"/>
    <w:rsid w:val="00593864"/>
    <w:rsid w:val="0063040A"/>
    <w:rsid w:val="00666000"/>
    <w:rsid w:val="006926E4"/>
    <w:rsid w:val="00734827"/>
    <w:rsid w:val="007B797F"/>
    <w:rsid w:val="007C4202"/>
    <w:rsid w:val="007D3FA1"/>
    <w:rsid w:val="00815772"/>
    <w:rsid w:val="0083617C"/>
    <w:rsid w:val="008C5F57"/>
    <w:rsid w:val="00921E81"/>
    <w:rsid w:val="009A4515"/>
    <w:rsid w:val="00A73C33"/>
    <w:rsid w:val="00AD500A"/>
    <w:rsid w:val="00B017CF"/>
    <w:rsid w:val="00B43339"/>
    <w:rsid w:val="00B740ED"/>
    <w:rsid w:val="00B87608"/>
    <w:rsid w:val="00BA32C6"/>
    <w:rsid w:val="00BB16CE"/>
    <w:rsid w:val="00BF65E1"/>
    <w:rsid w:val="00C510F4"/>
    <w:rsid w:val="00C6340F"/>
    <w:rsid w:val="00C63E8C"/>
    <w:rsid w:val="00C9276D"/>
    <w:rsid w:val="00C93818"/>
    <w:rsid w:val="00DF1D06"/>
    <w:rsid w:val="00E0476F"/>
    <w:rsid w:val="00E35F67"/>
    <w:rsid w:val="00E60AC7"/>
    <w:rsid w:val="00F002D6"/>
    <w:rsid w:val="00F16551"/>
    <w:rsid w:val="00F240A3"/>
    <w:rsid w:val="00F73188"/>
    <w:rsid w:val="69F535D1"/>
    <w:rsid w:val="73923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paragraph" w:styleId="2">
    <w:name w:val="heading 2"/>
    <w:basedOn w:val="1"/>
    <w:next w:val="1"/>
    <w:link w:val="10"/>
    <w:unhideWhenUsed/>
    <w:qFormat/>
    <w:uiPriority w:val="9"/>
    <w:pPr>
      <w:tabs>
        <w:tab w:val="left" w:pos="380"/>
      </w:tabs>
      <w:spacing w:before="100" w:beforeLines="100"/>
      <w:jc w:val="both"/>
      <w:outlineLvl w:val="1"/>
    </w:pPr>
    <w:rPr>
      <w:rFonts w:ascii="宋体" w:hAnsi="宋体" w:cs="Arial Unicode MS"/>
      <w:b/>
      <w:bCs/>
      <w:sz w:val="24"/>
      <w:szCs w:val="2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spacing w:line="240" w:lineRule="atLeast"/>
      <w:jc w:val="both"/>
    </w:pPr>
    <w:rPr>
      <w:rFonts w:ascii="楷体" w:hAnsi="楷体" w:eastAsia="宋体" w:cs="楷体"/>
      <w:color w:val="000000"/>
      <w:sz w:val="24"/>
      <w:szCs w:val="24"/>
      <w:lang w:val="en-US" w:eastAsia="zh-CN" w:bidi="ar-SA"/>
    </w:rPr>
  </w:style>
  <w:style w:type="character" w:customStyle="1" w:styleId="10">
    <w:name w:val="标题 2 Char"/>
    <w:basedOn w:val="6"/>
    <w:link w:val="2"/>
    <w:qFormat/>
    <w:uiPriority w:val="9"/>
    <w:rPr>
      <w:rFonts w:ascii="宋体" w:hAnsi="宋体" w:cs="Arial Unicode MS"/>
      <w:b/>
      <w:bCs/>
      <w:sz w:val="24"/>
      <w:szCs w:val="22"/>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wmf"/><Relationship Id="rId11" Type="http://schemas.openxmlformats.org/officeDocument/2006/relationships/control" Target="activeX/activeX2.xml"/><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2551</Words>
  <Characters>2735</Characters>
  <Lines>23</Lines>
  <Paragraphs>6</Paragraphs>
  <TotalTime>0</TotalTime>
  <ScaleCrop>false</ScaleCrop>
  <LinksUpToDate>false</LinksUpToDate>
  <CharactersWithSpaces>3021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2021-06-23T12:02:00Z</dcterms:created>
  <dc:creator>chenjing</dc:creator>
  <cp:lastModifiedBy>_徽_安_</cp:lastModifiedBy>
  <dcterms:modified xsi:type="dcterms:W3CDTF">2025-12-18T02:42:18Z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8DD7F8FBB6EB4A0A8C9566439AB36F1F_12</vt:lpwstr>
  </property>
</Properties>
</file>